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AE" w:rsidRDefault="001C1D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C1DAE" w:rsidRDefault="001C1DAE">
      <w:pPr>
        <w:pStyle w:val="ConsPlusNormal"/>
        <w:jc w:val="both"/>
        <w:outlineLvl w:val="0"/>
      </w:pPr>
    </w:p>
    <w:p w:rsidR="001C1DAE" w:rsidRDefault="001C1DAE">
      <w:pPr>
        <w:pStyle w:val="ConsPlusNormal"/>
        <w:outlineLvl w:val="0"/>
      </w:pPr>
      <w:r>
        <w:t>Зарегистрировано в Минюсте России 13 февраля 2019 г. N 53770</w:t>
      </w:r>
    </w:p>
    <w:p w:rsidR="001C1DAE" w:rsidRDefault="001C1D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DAE" w:rsidRDefault="001C1DAE">
      <w:pPr>
        <w:pStyle w:val="ConsPlusNormal"/>
      </w:pPr>
    </w:p>
    <w:p w:rsidR="001C1DAE" w:rsidRDefault="001C1DAE">
      <w:pPr>
        <w:pStyle w:val="ConsPlusTitle"/>
        <w:jc w:val="center"/>
      </w:pPr>
      <w:r>
        <w:t>МИНИСТЕРСТВО ФИНАНСОВ РОССИЙСКОЙ ФЕДЕРАЦИИ</w:t>
      </w:r>
    </w:p>
    <w:p w:rsidR="001C1DAE" w:rsidRDefault="001C1DAE">
      <w:pPr>
        <w:pStyle w:val="ConsPlusTitle"/>
        <w:jc w:val="center"/>
      </w:pPr>
    </w:p>
    <w:p w:rsidR="001C1DAE" w:rsidRDefault="001C1DAE">
      <w:pPr>
        <w:pStyle w:val="ConsPlusTitle"/>
        <w:jc w:val="center"/>
      </w:pPr>
      <w:r>
        <w:t>ПРИКАЗ</w:t>
      </w:r>
    </w:p>
    <w:p w:rsidR="001C1DAE" w:rsidRDefault="001C1DAE">
      <w:pPr>
        <w:pStyle w:val="ConsPlusTitle"/>
        <w:jc w:val="center"/>
      </w:pPr>
      <w:r>
        <w:t>от 5 декабря 2018 г. N 250н</w:t>
      </w:r>
    </w:p>
    <w:p w:rsidR="001C1DAE" w:rsidRDefault="001C1DAE">
      <w:pPr>
        <w:pStyle w:val="ConsPlusTitle"/>
        <w:jc w:val="center"/>
      </w:pPr>
    </w:p>
    <w:p w:rsidR="001C1DAE" w:rsidRDefault="001C1DAE">
      <w:pPr>
        <w:pStyle w:val="ConsPlusTitle"/>
        <w:jc w:val="center"/>
      </w:pPr>
      <w:r>
        <w:t>ОБ УТВЕРЖДЕНИИ ТЕХНИЧЕСКИХ УСЛОВИЙ</w:t>
      </w:r>
    </w:p>
    <w:p w:rsidR="001C1DAE" w:rsidRDefault="001C1DAE">
      <w:pPr>
        <w:pStyle w:val="ConsPlusTitle"/>
        <w:jc w:val="center"/>
      </w:pPr>
      <w:r>
        <w:t>В ОБЛАСТИ ПРОИЗВОДСТВА И ОБОРОТА ЭТИЛОВОГО СПИРТА,</w:t>
      </w:r>
    </w:p>
    <w:p w:rsidR="001C1DAE" w:rsidRDefault="001C1DAE">
      <w:pPr>
        <w:pStyle w:val="ConsPlusTitle"/>
        <w:jc w:val="center"/>
      </w:pPr>
      <w:r>
        <w:t>АЛКОГОЛЬНОЙ И СПИРТОСОДЕРЖАЩЕЙ ПРОДУКЦИИ В ЧАСТИ</w:t>
      </w:r>
    </w:p>
    <w:p w:rsidR="001C1DAE" w:rsidRDefault="001C1DAE">
      <w:pPr>
        <w:pStyle w:val="ConsPlusTitle"/>
        <w:jc w:val="center"/>
      </w:pPr>
      <w:r>
        <w:t>ОСНАЩЕНИЯ ПРОГРАММНО-АППАРАТНЫХ СРЕДСТВ ОРГАНИЗАЦИЙ,</w:t>
      </w:r>
    </w:p>
    <w:p w:rsidR="001C1DAE" w:rsidRDefault="001C1DAE">
      <w:pPr>
        <w:pStyle w:val="ConsPlusTitle"/>
        <w:jc w:val="center"/>
      </w:pPr>
      <w:r>
        <w:t>СЕЛЬСКОХОЗЯЙСТВЕННЫХ ТОВАРОПРОИЗВОДИТЕЛЕЙ И ИНДИВИДУАЛЬНЫХ</w:t>
      </w:r>
    </w:p>
    <w:p w:rsidR="001C1DAE" w:rsidRDefault="001C1DAE">
      <w:pPr>
        <w:pStyle w:val="ConsPlusTitle"/>
        <w:jc w:val="center"/>
      </w:pPr>
      <w:r>
        <w:t>ПРЕДПРИНИМАТЕЛЕЙ ПРОГРАММНЫМИ СРЕДСТВАМИ ЕДИНОЙ</w:t>
      </w:r>
    </w:p>
    <w:p w:rsidR="001C1DAE" w:rsidRDefault="001C1DAE">
      <w:pPr>
        <w:pStyle w:val="ConsPlusTitle"/>
        <w:jc w:val="center"/>
      </w:pPr>
      <w:r>
        <w:t>ГОСУДАРСТВЕННОЙ АВТОМАТИЗИРОВАННОЙ ИНФОРМАЦИОННОЙ</w:t>
      </w:r>
    </w:p>
    <w:p w:rsidR="001C1DAE" w:rsidRDefault="001C1DAE">
      <w:pPr>
        <w:pStyle w:val="ConsPlusTitle"/>
        <w:jc w:val="center"/>
      </w:pPr>
      <w:r>
        <w:t>СИСТЕМЫ УЧЕТА ОБЪЕМА ПРОИЗВОДСТВА И ОБОРОТА ЭТИЛОВОГО</w:t>
      </w:r>
    </w:p>
    <w:p w:rsidR="001C1DAE" w:rsidRDefault="001C1DAE">
      <w:pPr>
        <w:pStyle w:val="ConsPlusTitle"/>
        <w:jc w:val="center"/>
      </w:pPr>
      <w:r>
        <w:t>СПИРТА, АЛКОГОЛЬНОЙ И СПИРТОСОДЕРЖАЩЕЙ ПРОДУКЦИИ</w:t>
      </w:r>
    </w:p>
    <w:p w:rsidR="001C1DAE" w:rsidRDefault="001C1DAE">
      <w:pPr>
        <w:pStyle w:val="ConsPlusNormal"/>
        <w:ind w:firstLine="540"/>
        <w:jc w:val="both"/>
      </w:pPr>
    </w:p>
    <w:p w:rsidR="001C1DAE" w:rsidRDefault="001C1DA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абзацем восьмым статьи 5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1999, N 2, ст. 245; 2001, N 53, ст. 5022; 2005, N 30, ст. 3113; 2009, N 1, ст. 21; 2011, N 30, ст. 4566; 2012, N 53, ст. 7611; 2013, N 30, ст. 4065; 2015, N 1, ст. 43; 2016, N 27, ст. 4194; 2017, N 31, ст. 4827), на основании </w:t>
      </w:r>
      <w:hyperlink r:id="rId6" w:history="1">
        <w:r>
          <w:rPr>
            <w:color w:val="0000FF"/>
          </w:rPr>
          <w:t>подпункта 5.2.8(2)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2016, N 17, ст. 2399), и </w:t>
      </w:r>
      <w:hyperlink r:id="rId7" w:history="1">
        <w:r>
          <w:rPr>
            <w:color w:val="0000FF"/>
          </w:rPr>
          <w:t>подпункта 5.2.13(1)</w:t>
        </w:r>
      </w:hyperlink>
      <w: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2010, N 21, ст. 2618), приказываю: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 xml:space="preserve">1. Утвердить прилагаемые Технические </w:t>
      </w:r>
      <w:hyperlink w:anchor="P39" w:history="1">
        <w:r>
          <w:rPr>
            <w:color w:val="0000FF"/>
          </w:rPr>
          <w:t>условия</w:t>
        </w:r>
      </w:hyperlink>
      <w:r>
        <w:t xml:space="preserve"> в области производства и оборота этилового спирта, алкогольной и спиртосодержащей продукции в части оснащения программно-аппаратных средств организаций, сельскохозяйственных товаропроизводителей и индивидуальных предпринимателей программными средствами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lastRenderedPageBreak/>
        <w:t>2. Установить, что настоящий приказ вступает в силу по истечении одного месяца после дня его официального опубликования.</w:t>
      </w:r>
    </w:p>
    <w:p w:rsidR="001C1DAE" w:rsidRDefault="001C1DAE">
      <w:pPr>
        <w:pStyle w:val="ConsPlusNormal"/>
        <w:ind w:firstLine="540"/>
        <w:jc w:val="both"/>
      </w:pPr>
    </w:p>
    <w:p w:rsidR="001C1DAE" w:rsidRDefault="001C1DAE">
      <w:pPr>
        <w:pStyle w:val="ConsPlusNormal"/>
        <w:jc w:val="right"/>
      </w:pPr>
      <w:r>
        <w:t>Первый заместитель</w:t>
      </w:r>
    </w:p>
    <w:p w:rsidR="001C1DAE" w:rsidRDefault="001C1DAE">
      <w:pPr>
        <w:pStyle w:val="ConsPlusNormal"/>
        <w:jc w:val="right"/>
      </w:pPr>
      <w:r>
        <w:t>Председателя Правительства</w:t>
      </w:r>
    </w:p>
    <w:p w:rsidR="001C1DAE" w:rsidRDefault="001C1DAE">
      <w:pPr>
        <w:pStyle w:val="ConsPlusNormal"/>
        <w:jc w:val="right"/>
      </w:pPr>
      <w:r>
        <w:t>Российской Федерации -</w:t>
      </w:r>
    </w:p>
    <w:p w:rsidR="001C1DAE" w:rsidRDefault="001C1DAE">
      <w:pPr>
        <w:pStyle w:val="ConsPlusNormal"/>
        <w:jc w:val="right"/>
      </w:pPr>
      <w:r>
        <w:t>Министр финансов</w:t>
      </w:r>
    </w:p>
    <w:p w:rsidR="001C1DAE" w:rsidRDefault="001C1DAE">
      <w:pPr>
        <w:pStyle w:val="ConsPlusNormal"/>
        <w:jc w:val="right"/>
      </w:pPr>
      <w:r>
        <w:t>Российской Федерации</w:t>
      </w:r>
    </w:p>
    <w:p w:rsidR="001C1DAE" w:rsidRDefault="001C1DAE">
      <w:pPr>
        <w:pStyle w:val="ConsPlusNormal"/>
        <w:jc w:val="right"/>
      </w:pPr>
      <w:r>
        <w:t>А.Г.СИЛУАНОВ</w:t>
      </w:r>
    </w:p>
    <w:p w:rsidR="001C1DAE" w:rsidRDefault="001C1DAE">
      <w:pPr>
        <w:pStyle w:val="ConsPlusNormal"/>
        <w:jc w:val="right"/>
      </w:pPr>
    </w:p>
    <w:p w:rsidR="001C1DAE" w:rsidRDefault="001C1DAE">
      <w:pPr>
        <w:pStyle w:val="ConsPlusNormal"/>
        <w:jc w:val="right"/>
      </w:pPr>
    </w:p>
    <w:p w:rsidR="001C1DAE" w:rsidRDefault="001C1DAE">
      <w:pPr>
        <w:pStyle w:val="ConsPlusNormal"/>
        <w:jc w:val="right"/>
      </w:pPr>
    </w:p>
    <w:p w:rsidR="001C1DAE" w:rsidRDefault="001C1DAE">
      <w:pPr>
        <w:pStyle w:val="ConsPlusNormal"/>
        <w:jc w:val="right"/>
      </w:pPr>
    </w:p>
    <w:p w:rsidR="001C1DAE" w:rsidRDefault="001C1DAE">
      <w:pPr>
        <w:pStyle w:val="ConsPlusNormal"/>
        <w:jc w:val="right"/>
      </w:pPr>
    </w:p>
    <w:p w:rsidR="001C1DAE" w:rsidRDefault="001C1DAE">
      <w:pPr>
        <w:pStyle w:val="ConsPlusNormal"/>
        <w:jc w:val="right"/>
        <w:outlineLvl w:val="0"/>
      </w:pPr>
      <w:r>
        <w:t>Утверждены</w:t>
      </w:r>
    </w:p>
    <w:p w:rsidR="001C1DAE" w:rsidRDefault="001C1DAE">
      <w:pPr>
        <w:pStyle w:val="ConsPlusNormal"/>
        <w:jc w:val="right"/>
      </w:pPr>
      <w:r>
        <w:t>приказом Министерства финансов</w:t>
      </w:r>
    </w:p>
    <w:p w:rsidR="001C1DAE" w:rsidRDefault="001C1DAE">
      <w:pPr>
        <w:pStyle w:val="ConsPlusNormal"/>
        <w:jc w:val="right"/>
      </w:pPr>
      <w:r>
        <w:t>Российской Федерации</w:t>
      </w:r>
    </w:p>
    <w:p w:rsidR="001C1DAE" w:rsidRDefault="001C1DAE">
      <w:pPr>
        <w:pStyle w:val="ConsPlusNormal"/>
        <w:jc w:val="right"/>
      </w:pPr>
      <w:r>
        <w:t>от 05.12.2018 N 250н</w:t>
      </w:r>
    </w:p>
    <w:p w:rsidR="001C1DAE" w:rsidRDefault="001C1DAE">
      <w:pPr>
        <w:pStyle w:val="ConsPlusNormal"/>
        <w:jc w:val="right"/>
      </w:pPr>
    </w:p>
    <w:p w:rsidR="001C1DAE" w:rsidRDefault="001C1DAE">
      <w:pPr>
        <w:pStyle w:val="ConsPlusTitle"/>
        <w:jc w:val="center"/>
      </w:pPr>
      <w:bookmarkStart w:id="0" w:name="P39"/>
      <w:bookmarkEnd w:id="0"/>
      <w:r>
        <w:t>ТЕХНИЧЕСКИЕ УСЛОВИЯ</w:t>
      </w:r>
    </w:p>
    <w:p w:rsidR="001C1DAE" w:rsidRDefault="001C1DAE">
      <w:pPr>
        <w:pStyle w:val="ConsPlusTitle"/>
        <w:jc w:val="center"/>
      </w:pPr>
      <w:r>
        <w:t>В ОБЛАСТИ ПРОИЗВОДСТВА И ОБОРОТА ЭТИЛОВОГО СПИРТА,</w:t>
      </w:r>
    </w:p>
    <w:p w:rsidR="001C1DAE" w:rsidRDefault="001C1DAE">
      <w:pPr>
        <w:pStyle w:val="ConsPlusTitle"/>
        <w:jc w:val="center"/>
      </w:pPr>
      <w:r>
        <w:t>АЛКОГОЛЬНОЙ И СПИРТОСОДЕРЖАЩЕЙ ПРОДУКЦИИ В ЧАСТИ</w:t>
      </w:r>
    </w:p>
    <w:p w:rsidR="001C1DAE" w:rsidRDefault="001C1DAE">
      <w:pPr>
        <w:pStyle w:val="ConsPlusTitle"/>
        <w:jc w:val="center"/>
      </w:pPr>
      <w:r>
        <w:t>ОСНАЩЕНИЯ ПРОГРАММНО-АППАРАТНЫХ СРЕДСТВ ОРГАНИЗАЦИЙ,</w:t>
      </w:r>
    </w:p>
    <w:p w:rsidR="001C1DAE" w:rsidRDefault="001C1DAE">
      <w:pPr>
        <w:pStyle w:val="ConsPlusTitle"/>
        <w:jc w:val="center"/>
      </w:pPr>
      <w:r>
        <w:t>СЕЛЬСКОХОЗЯЙСТВЕННЫХ ТОВАРОПРОИЗВОДИТЕЛЕЙ И ИНДИВИДУАЛЬНЫХ</w:t>
      </w:r>
    </w:p>
    <w:p w:rsidR="001C1DAE" w:rsidRDefault="001C1DAE">
      <w:pPr>
        <w:pStyle w:val="ConsPlusTitle"/>
        <w:jc w:val="center"/>
      </w:pPr>
      <w:r>
        <w:t>ПРЕДПРИНИМАТЕЛЕЙ ПРОГРАММНЫМИ СРЕДСТВАМИ ЕДИНОЙ</w:t>
      </w:r>
    </w:p>
    <w:p w:rsidR="001C1DAE" w:rsidRDefault="001C1DAE">
      <w:pPr>
        <w:pStyle w:val="ConsPlusTitle"/>
        <w:jc w:val="center"/>
      </w:pPr>
      <w:r>
        <w:t>ГОСУДАРСТВЕННОЙ АВТОМАТИЗИРОВАННОЙ ИНФОРМАЦИОННОЙ</w:t>
      </w:r>
    </w:p>
    <w:p w:rsidR="001C1DAE" w:rsidRDefault="001C1DAE">
      <w:pPr>
        <w:pStyle w:val="ConsPlusTitle"/>
        <w:jc w:val="center"/>
      </w:pPr>
      <w:r>
        <w:t>СИСТЕМЫ УЧЕТА ОБЪЕМА ПРОИЗВОДСТВА И ОБОРОТА ЭТИЛОВОГО</w:t>
      </w:r>
    </w:p>
    <w:p w:rsidR="001C1DAE" w:rsidRDefault="001C1DAE">
      <w:pPr>
        <w:pStyle w:val="ConsPlusTitle"/>
        <w:jc w:val="center"/>
      </w:pPr>
      <w:r>
        <w:t>СПИРТА, АЛКОГОЛЬНОЙ И СПИРТОСОДЕРЖАЩЕЙ ПРОДУКЦИИ</w:t>
      </w:r>
    </w:p>
    <w:p w:rsidR="001C1DAE" w:rsidRDefault="001C1DAE">
      <w:pPr>
        <w:pStyle w:val="ConsPlusNormal"/>
        <w:jc w:val="center"/>
      </w:pPr>
    </w:p>
    <w:p w:rsidR="001C1DAE" w:rsidRDefault="001C1DAE">
      <w:pPr>
        <w:pStyle w:val="ConsPlusTitle"/>
        <w:jc w:val="center"/>
        <w:outlineLvl w:val="1"/>
      </w:pPr>
      <w:r>
        <w:t>I. Область применения</w:t>
      </w:r>
    </w:p>
    <w:p w:rsidR="001C1DAE" w:rsidRDefault="001C1DAE">
      <w:pPr>
        <w:pStyle w:val="ConsPlusNormal"/>
        <w:jc w:val="center"/>
      </w:pPr>
    </w:p>
    <w:p w:rsidR="001C1DAE" w:rsidRDefault="001C1DAE">
      <w:pPr>
        <w:pStyle w:val="ConsPlusNormal"/>
        <w:ind w:firstLine="540"/>
        <w:jc w:val="both"/>
      </w:pPr>
      <w:r>
        <w:t>1. Настоящие Технические условия определяют условия оснащения программно-аппаратных средств (далее - программно-аппаратные средства):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организаций, осуществляющих производство и (или) оборот этилового спирта, алкогольной и спиртосодержащей продукции и (или) использующих фармацевтическую субстанцию спирта этилового (этанол)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 (далее - организации);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 xml:space="preserve">сельскохозяйственных товаропроизводителей (индивидуальных предпринимателей и крестьянских (фермерских) хозяйств), признаваемых таковыми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2006 г. N 264-ФЗ "О развитии </w:t>
      </w:r>
      <w:r>
        <w:lastRenderedPageBreak/>
        <w:t>сельского хозяйства" (Собрание законодательства Российской Федерации, 2007, N 1, ст. 27; 2018, N 31, ст. 4861), осуществляющих оборот (за исключением хранения) вина, игристого вина (шампанского), произведенного из собственного винограда (далее - сельскохозяйственные товаропроизводители);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индивидуальных предпринимателей, осуществляющих закупку пива, пивных напитков, сидра, пуаре и медовухи в целях последующей розничной продажи такой продукции или использующих фармацевтическую субстанцию спирта этилового (этанол)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 (далее - индивидуальные предприниматели),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 xml:space="preserve">а также технические условия функционирования программных средств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- ЕГАИС), которыми в соответствии со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1999, N 2, ст. 245; 2002, N 30, ст. 3026; 2004, N 45, ст. 4377; 2005, N 30, ст. 3113; 2007, N 1, ст. 11; N 31, ст. 3994; N 49, ст. 6063; 2011, N 30, ст. 4566; 2012, N 53, ст. 7584; 2013, N 30, ст. 4065; 2015, N 1, ст. 43, 47; N 27, ст. 3973; 2016, N 27, 4194; 2017, N 31, ст. 4827; 2018, N 1, ст. 17) оснащаются программно-аппаратные средства.</w:t>
      </w:r>
    </w:p>
    <w:p w:rsidR="001C1DAE" w:rsidRDefault="001C1DAE">
      <w:pPr>
        <w:pStyle w:val="ConsPlusNormal"/>
        <w:ind w:firstLine="540"/>
        <w:jc w:val="both"/>
      </w:pPr>
    </w:p>
    <w:p w:rsidR="001C1DAE" w:rsidRDefault="001C1DAE">
      <w:pPr>
        <w:pStyle w:val="ConsPlusTitle"/>
        <w:jc w:val="center"/>
        <w:outlineLvl w:val="1"/>
      </w:pPr>
      <w:r>
        <w:t>II. Общие характеристики программно-аппаратных средств</w:t>
      </w:r>
    </w:p>
    <w:p w:rsidR="001C1DAE" w:rsidRDefault="001C1DAE">
      <w:pPr>
        <w:pStyle w:val="ConsPlusTitle"/>
        <w:jc w:val="center"/>
      </w:pPr>
      <w:r>
        <w:t>и программных средств ЕГАИС</w:t>
      </w:r>
    </w:p>
    <w:p w:rsidR="001C1DAE" w:rsidRDefault="001C1DAE">
      <w:pPr>
        <w:pStyle w:val="ConsPlusNormal"/>
        <w:ind w:firstLine="540"/>
        <w:jc w:val="both"/>
      </w:pPr>
    </w:p>
    <w:p w:rsidR="001C1DAE" w:rsidRDefault="001C1DAE">
      <w:pPr>
        <w:pStyle w:val="ConsPlusNormal"/>
        <w:ind w:firstLine="540"/>
        <w:jc w:val="both"/>
      </w:pPr>
      <w:r>
        <w:t xml:space="preserve">2. Комплекс технических устройств, являющийся составной частью программно-аппаратных средств (далее - комплекс технических устройств), на которые установлены программные средства ЕГАИС, должен обеспечивать предотвращение искажения и подделки информации, передаваемой в ЕГАИС, путем использования усиленной квалифицированной электронной подписи, отвечающей требованиям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2016, N 26, ст. 3889) (далее - электронная подпись).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 xml:space="preserve">Комплекс технических устройств и программные средства ЕГАИС должны соответствовать требованиям к техническим средствам фиксации и передачи информации об объеме производства и оборота этилового спирта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продукции, </w:t>
      </w:r>
      <w:hyperlink r:id="rId11" w:history="1">
        <w:r>
          <w:rPr>
            <w:color w:val="0000FF"/>
          </w:rPr>
          <w:t>требованиям</w:t>
        </w:r>
      </w:hyperlink>
      <w:r>
        <w:t xml:space="preserve"> к техническим средствам фиксации и передачи информации об объеме производства и оборота алкогольной продукции в единую </w:t>
      </w:r>
      <w:r>
        <w:lastRenderedPageBreak/>
        <w:t>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и требованиям к техническим средствам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продукции, утвержденным постановлением Правительства Российской Федерации от 9 июля 2016 г. N 650 (Собрание законодательства Российской Федерации, 2016, N 29, ст. 4826; 2018, N 15, ст. 2117; N 40, ст. 6143).</w:t>
      </w:r>
    </w:p>
    <w:p w:rsidR="001C1DAE" w:rsidRDefault="001C1DAE">
      <w:pPr>
        <w:pStyle w:val="ConsPlusNormal"/>
        <w:ind w:firstLine="540"/>
        <w:jc w:val="both"/>
      </w:pPr>
    </w:p>
    <w:p w:rsidR="001C1DAE" w:rsidRDefault="001C1DAE">
      <w:pPr>
        <w:pStyle w:val="ConsPlusTitle"/>
        <w:jc w:val="center"/>
        <w:outlineLvl w:val="1"/>
      </w:pPr>
      <w:r>
        <w:t>III. Технические условия функционирования программных</w:t>
      </w:r>
    </w:p>
    <w:p w:rsidR="001C1DAE" w:rsidRDefault="001C1DAE">
      <w:pPr>
        <w:pStyle w:val="ConsPlusTitle"/>
        <w:jc w:val="center"/>
      </w:pPr>
      <w:r>
        <w:t>средств ЕГАИС и программно-аппаратных средств</w:t>
      </w:r>
    </w:p>
    <w:p w:rsidR="001C1DAE" w:rsidRDefault="001C1DAE">
      <w:pPr>
        <w:pStyle w:val="ConsPlusNormal"/>
        <w:ind w:firstLine="540"/>
        <w:jc w:val="both"/>
      </w:pPr>
    </w:p>
    <w:p w:rsidR="001C1DAE" w:rsidRDefault="001C1DAE">
      <w:pPr>
        <w:pStyle w:val="ConsPlusNormal"/>
        <w:ind w:firstLine="540"/>
        <w:jc w:val="both"/>
      </w:pPr>
      <w:r>
        <w:t>3.1. При передаче в ЕГАИС информации с использованием программных средств ЕГАИС организациями, сельскохозяйственными товаропроизводителями, индивидуальными предпринимателями должны соблюдаться следующие условия: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1) обмен информацией должен обеспечиваться по информационно-телекоммуникационной сети "Интернет";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2) подтверждение подлинности информации, передаваемой в ЕГАИС, должно обеспечиваться путем применения электронной подписи.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3.2. На программно-аппаратные средства, на которых имеется программное обеспечение, нарушающее функционирование комплекса технических устройств и (или) программного обеспечения, не подлежат установке программные средства ЕГАИС.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3.3. Внесение организацией, сельскохозяйственным товаропроизводителем или индивидуальным предпринимателем в программные средства ЕГАИС изменений, влияющих на их штатное функционирование, не допускается.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3.4. Программно-аппаратные средства должны передавать данные по зашифрованному каналу связи, организованному с использованием устройства идентификации и авторизации организации, сельскохозяйственного товаропроизводителя и индивидуального предпринимателя (внешнего криптографического USB-устройства) (далее - аппаратный крипто-ключ) и электронного файла, содержащего данные для активации программных средств ЕГАИС.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3.5. Электронная подпись, применяемая для подтверждения подлинности информации, передаваемой в ЕГАИС, должна формироваться с использованием неизвлекаемого ключа электронной подписи средствами аппаратного крипто-ключа.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 xml:space="preserve">3.6. Технические условия, обеспечивающие работоспособность аппаратного крипто-ключа, используемого в рамках функционирования ЕГАИС, указаны в </w:t>
      </w:r>
      <w:hyperlink w:anchor="P97" w:history="1">
        <w:r>
          <w:rPr>
            <w:color w:val="0000FF"/>
          </w:rPr>
          <w:t>приложении</w:t>
        </w:r>
      </w:hyperlink>
      <w:r>
        <w:t xml:space="preserve"> к настоящим Техническим условиям.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3.7. При извлечении аппаратного крипто-ключа использование программно-аппаратных средств не допускается.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3.8. Одновременное использование организацией, сельскохозяйственным товаропроизводителем или индивидуальным предпринимателем нескольких аппаратных крипто-ключей на одном комплексе технических устройств не допускается.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3.9. Использование организацией, сельскохозяйственным товаропроизводителем или индивидуальным предпринимателем нескольких экземпляров программных средств ЕГАИС на одном комплексе технических средств фиксации и передачи информации об объеме производства и оборота этилового спирта, алкогольной и спиртосодержащей продукции в ЕГАИС не допускается.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3.10. Использование организацией, сельскохозяйственным товаропроизводителем или индивидуальным предпринимателем ключа электронной подписи с несколькими электронными подписями на одном аппаратном крипто-ключе в одной области памяти при работе в ЕГАИС не допускается.</w:t>
      </w:r>
    </w:p>
    <w:p w:rsidR="001C1DAE" w:rsidRDefault="001C1DAE">
      <w:pPr>
        <w:pStyle w:val="ConsPlusNormal"/>
        <w:ind w:firstLine="540"/>
        <w:jc w:val="both"/>
      </w:pPr>
    </w:p>
    <w:p w:rsidR="001C1DAE" w:rsidRDefault="001C1DAE">
      <w:pPr>
        <w:pStyle w:val="ConsPlusNormal"/>
        <w:ind w:firstLine="540"/>
        <w:jc w:val="both"/>
      </w:pPr>
    </w:p>
    <w:p w:rsidR="001C1DAE" w:rsidRDefault="001C1DAE">
      <w:pPr>
        <w:pStyle w:val="ConsPlusNormal"/>
        <w:ind w:firstLine="540"/>
        <w:jc w:val="both"/>
      </w:pPr>
    </w:p>
    <w:p w:rsidR="001C1DAE" w:rsidRDefault="001C1DAE">
      <w:pPr>
        <w:pStyle w:val="ConsPlusNormal"/>
        <w:ind w:firstLine="540"/>
        <w:jc w:val="both"/>
      </w:pPr>
    </w:p>
    <w:p w:rsidR="001C1DAE" w:rsidRDefault="001C1DAE">
      <w:pPr>
        <w:pStyle w:val="ConsPlusNormal"/>
        <w:ind w:firstLine="540"/>
        <w:jc w:val="both"/>
      </w:pPr>
    </w:p>
    <w:p w:rsidR="001C1DAE" w:rsidRDefault="001C1DAE">
      <w:pPr>
        <w:pStyle w:val="ConsPlusNormal"/>
        <w:jc w:val="right"/>
        <w:outlineLvl w:val="1"/>
      </w:pPr>
      <w:r>
        <w:t>Приложение</w:t>
      </w:r>
    </w:p>
    <w:p w:rsidR="001C1DAE" w:rsidRDefault="001C1DAE">
      <w:pPr>
        <w:pStyle w:val="ConsPlusNormal"/>
        <w:jc w:val="right"/>
      </w:pPr>
      <w:r>
        <w:t>к Техническим условиям в области</w:t>
      </w:r>
    </w:p>
    <w:p w:rsidR="001C1DAE" w:rsidRDefault="001C1DAE">
      <w:pPr>
        <w:pStyle w:val="ConsPlusNormal"/>
        <w:jc w:val="right"/>
      </w:pPr>
      <w:r>
        <w:t>производства и оборота этилового спирта,</w:t>
      </w:r>
    </w:p>
    <w:p w:rsidR="001C1DAE" w:rsidRDefault="001C1DAE">
      <w:pPr>
        <w:pStyle w:val="ConsPlusNormal"/>
        <w:jc w:val="right"/>
      </w:pPr>
      <w:r>
        <w:t>алкогольной и спиртосодержащей продукции</w:t>
      </w:r>
    </w:p>
    <w:p w:rsidR="001C1DAE" w:rsidRDefault="001C1DAE">
      <w:pPr>
        <w:pStyle w:val="ConsPlusNormal"/>
        <w:jc w:val="right"/>
      </w:pPr>
      <w:r>
        <w:t>в части оснащения программно-аппаратных</w:t>
      </w:r>
    </w:p>
    <w:p w:rsidR="001C1DAE" w:rsidRDefault="001C1DAE">
      <w:pPr>
        <w:pStyle w:val="ConsPlusNormal"/>
        <w:jc w:val="right"/>
      </w:pPr>
      <w:r>
        <w:t>средств организаций, сельскохозяйственных</w:t>
      </w:r>
    </w:p>
    <w:p w:rsidR="001C1DAE" w:rsidRDefault="001C1DAE">
      <w:pPr>
        <w:pStyle w:val="ConsPlusNormal"/>
        <w:jc w:val="right"/>
      </w:pPr>
      <w:r>
        <w:t>товаропроизводителей и индивидуальных</w:t>
      </w:r>
    </w:p>
    <w:p w:rsidR="001C1DAE" w:rsidRDefault="001C1DAE">
      <w:pPr>
        <w:pStyle w:val="ConsPlusNormal"/>
        <w:jc w:val="right"/>
      </w:pPr>
      <w:r>
        <w:t>предпринимателей программными средствами</w:t>
      </w:r>
    </w:p>
    <w:p w:rsidR="001C1DAE" w:rsidRDefault="001C1DAE">
      <w:pPr>
        <w:pStyle w:val="ConsPlusNormal"/>
        <w:jc w:val="right"/>
      </w:pPr>
      <w:r>
        <w:t>единой государственной автоматизированной</w:t>
      </w:r>
    </w:p>
    <w:p w:rsidR="001C1DAE" w:rsidRDefault="001C1DAE">
      <w:pPr>
        <w:pStyle w:val="ConsPlusNormal"/>
        <w:jc w:val="right"/>
      </w:pPr>
      <w:r>
        <w:t>информационной системы учета объема</w:t>
      </w:r>
    </w:p>
    <w:p w:rsidR="001C1DAE" w:rsidRDefault="001C1DAE">
      <w:pPr>
        <w:pStyle w:val="ConsPlusNormal"/>
        <w:jc w:val="right"/>
      </w:pPr>
      <w:r>
        <w:t>производства и оборота этилового спирта,</w:t>
      </w:r>
    </w:p>
    <w:p w:rsidR="001C1DAE" w:rsidRDefault="001C1DAE">
      <w:pPr>
        <w:pStyle w:val="ConsPlusNormal"/>
        <w:jc w:val="right"/>
      </w:pPr>
      <w:r>
        <w:t>алкогольной и спиртосодержащей продукции</w:t>
      </w:r>
    </w:p>
    <w:p w:rsidR="001C1DAE" w:rsidRDefault="001C1DAE">
      <w:pPr>
        <w:pStyle w:val="ConsPlusNormal"/>
        <w:jc w:val="right"/>
      </w:pPr>
      <w:r>
        <w:t>от 05.12.2018 N 50н</w:t>
      </w:r>
    </w:p>
    <w:p w:rsidR="001C1DAE" w:rsidRDefault="001C1DAE">
      <w:pPr>
        <w:pStyle w:val="ConsPlusNormal"/>
        <w:jc w:val="right"/>
      </w:pPr>
    </w:p>
    <w:p w:rsidR="001C1DAE" w:rsidRDefault="001C1DAE">
      <w:pPr>
        <w:pStyle w:val="ConsPlusTitle"/>
        <w:jc w:val="center"/>
      </w:pPr>
      <w:bookmarkStart w:id="1" w:name="P97"/>
      <w:bookmarkEnd w:id="1"/>
      <w:r>
        <w:t>ТЕХНИЧЕСКИЕ УСЛОВИЯ</w:t>
      </w:r>
    </w:p>
    <w:p w:rsidR="001C1DAE" w:rsidRDefault="001C1DAE">
      <w:pPr>
        <w:pStyle w:val="ConsPlusTitle"/>
        <w:jc w:val="center"/>
      </w:pPr>
      <w:r>
        <w:t>ОБЕСПЕЧЕНИЯ РАБОТОСПОСОБНОСТИ УСТРОЙСТВА ИДЕНТИФИКАЦИИ</w:t>
      </w:r>
    </w:p>
    <w:p w:rsidR="001C1DAE" w:rsidRDefault="001C1DAE">
      <w:pPr>
        <w:pStyle w:val="ConsPlusTitle"/>
        <w:jc w:val="center"/>
      </w:pPr>
      <w:r>
        <w:t>И АВТОРИЗАЦИИ ОРГАНИЗАЦИИ, СЕЛЬСКОХОЗЯЙСТВЕННОГО</w:t>
      </w:r>
    </w:p>
    <w:p w:rsidR="001C1DAE" w:rsidRDefault="001C1DAE">
      <w:pPr>
        <w:pStyle w:val="ConsPlusTitle"/>
        <w:jc w:val="center"/>
      </w:pPr>
      <w:r>
        <w:t xml:space="preserve">ТОВАРОПРОИЗВОДИТЕЛЯ И ИНДИВИДУАЛЬНОГО </w:t>
      </w:r>
      <w:r>
        <w:lastRenderedPageBreak/>
        <w:t>ПРЕДПРИНИМАТЕЛЯ,</w:t>
      </w:r>
    </w:p>
    <w:p w:rsidR="001C1DAE" w:rsidRDefault="001C1DAE">
      <w:pPr>
        <w:pStyle w:val="ConsPlusTitle"/>
        <w:jc w:val="center"/>
      </w:pPr>
      <w:r>
        <w:t>ИСПОЛЬЗУЕМОГО В РАМКАХ ФУНКЦИОНИРОВАНИЯ ЕГАИС</w:t>
      </w:r>
    </w:p>
    <w:p w:rsidR="001C1DAE" w:rsidRDefault="001C1DAE">
      <w:pPr>
        <w:pStyle w:val="ConsPlusNormal"/>
        <w:jc w:val="center"/>
      </w:pPr>
    </w:p>
    <w:p w:rsidR="001C1DAE" w:rsidRDefault="001C1DAE">
      <w:pPr>
        <w:pStyle w:val="ConsPlusNormal"/>
        <w:ind w:firstLine="540"/>
        <w:jc w:val="both"/>
      </w:pPr>
      <w:r>
        <w:t>1. Устройство идентификации и авторизации организации, сельскохозяйственного товаропроизводителя и индивидуального предпринимателя (внешнее криптографическое USB-устройство) (далее - аппаратный крипто-ключ) должно содержать в себе защищенный микропроцессор и операционную систему, контролирующую устройство, доступ к оперативной и долговременной памяти.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 xml:space="preserve">2. Аппаратный крипто-ключ должен соответствовать требованиям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2016, N 26, ст. 3889) для создания усиленной квалифицированной электронной подписи (далее - электронная подпись).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3. Аппаратный крипто-ключ должен обеспечивать: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а) выполнение всех необходимых криптографических операций внутри устройства без использования внешних криптографических ресурсов;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б) защиту оперативной и долговременной памяти от копирования и несанкционированного доступа;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в) реализацию следующих криптоалгоритмов: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AES (длины ключей 128, 192, 256 бит);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3DES (длины ключей 168 бит);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RSA (длины 1024, 2048);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криптография на эллиптических кривых (длины ключей 512 бит);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иностранная криптография на эллиптических кривых (аппаратная реализация);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аппаратная генерация ключей для RSA и криптографии на эллиптических кривых;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аппаратная генерация случайных чисел;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алгоритмы согласования ключей: алгоритм Диффи-Хеллмана, алгоритм Диффи-Хеллмана на эллиптических кривых;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функции хэширования: SHA-1, SHA-256 (аппаратная реализация);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 xml:space="preserve">генерация ключевых пар, формирование и проверка электронной подписи соответствующей требованиям национального стандарта Российской Федерации </w:t>
      </w:r>
      <w:hyperlink r:id="rId13" w:history="1">
        <w:r>
          <w:rPr>
            <w:color w:val="0000FF"/>
          </w:rPr>
          <w:t>ГОСТ Р 34.10-2012</w:t>
        </w:r>
      </w:hyperlink>
      <w:r>
        <w:t xml:space="preserve"> "Информационная технология. Криптографическая защита информации. Процессы формирования и проверки электронной цифровой подписи", утвержденного </w:t>
      </w:r>
      <w:hyperlink r:id="rId14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7 августа 2012 г. N 215-ст (М., Стандартинформ, 2013) (далее - ГОСТ Р 34.10-2012);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 xml:space="preserve">функция хэширования, соответствующая требованиям национального стандарта Российской Федерации </w:t>
      </w:r>
      <w:hyperlink r:id="rId15" w:history="1">
        <w:r>
          <w:rPr>
            <w:color w:val="0000FF"/>
          </w:rPr>
          <w:t>ГОСТ Р 34.11-2012</w:t>
        </w:r>
      </w:hyperlink>
      <w:r>
        <w:t xml:space="preserve"> "Информационная технология. Криптографическая защита информации. Функция хэширования", утвержденного </w:t>
      </w:r>
      <w:hyperlink r:id="rId16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7 августа 2012 г. N 216-ст (М., Стандартинформ, 2013).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4. Аппаратный крипто-ключ должен позволять: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 xml:space="preserve">а) генерировать и содержать в защищенном виде (в том числе защиту от копирования) закрытые ключи по форматам, соответствующим </w:t>
      </w:r>
      <w:hyperlink r:id="rId17" w:history="1">
        <w:r>
          <w:rPr>
            <w:color w:val="0000FF"/>
          </w:rPr>
          <w:t>ГОСТ Р 34.10-2012</w:t>
        </w:r>
      </w:hyperlink>
      <w:r>
        <w:t>, и криптографическими алгоритмами RSA, а также соответствующие им открытые ключи;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б) использовать одновременно без ограничений как российские криптоалгоритмы, так и иностранные.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5. Аппаратный крипто-ключ должен обеспечивать функциональность неубывающего счетчика.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Каждая электронная подпись, сгенерированная крипто-ключом, должна обеспечивать увеличение значения счетчика на единицу. Встроенное программное обеспечение аппаратного крипто-ключа не должно содержать открытых программных интерфейсов, с помощью которых можно изменить значение счетчика.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Счетчик не должен терять свое значение при переформатировании аппаратного крипто-ключа.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Выдаваемое значение счетчика должно сопровождаться криптографической контрольной суммой.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6. Криптографическая контрольная сумма является результатом расчета электронной подписи по следующим параметрам: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а) аппаратный номер карты;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б) значение дайджеста последних данных, от которых рассчитывалась электронная подпись;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t>в) значение счетчика.</w:t>
      </w:r>
    </w:p>
    <w:p w:rsidR="001C1DAE" w:rsidRDefault="001C1DAE">
      <w:pPr>
        <w:pStyle w:val="ConsPlusNormal"/>
        <w:spacing w:before="280"/>
        <w:ind w:firstLine="540"/>
        <w:jc w:val="both"/>
      </w:pPr>
      <w:r>
        <w:lastRenderedPageBreak/>
        <w:t>7. Значение электронной подписи должно вычисляться аппаратным крипто-ключом с использованием ключевой пары. Ключевая пара должна содержать сигнальный атрибут, обеспечивающий использование ключевой пары исключительно в процедуре расчета контрольной суммы.</w:t>
      </w:r>
    </w:p>
    <w:p w:rsidR="001C1DAE" w:rsidRDefault="001C1DAE">
      <w:pPr>
        <w:pStyle w:val="ConsPlusNormal"/>
        <w:ind w:firstLine="540"/>
        <w:jc w:val="both"/>
      </w:pPr>
    </w:p>
    <w:p w:rsidR="001C1DAE" w:rsidRDefault="001C1DAE">
      <w:pPr>
        <w:pStyle w:val="ConsPlusNormal"/>
        <w:ind w:firstLine="540"/>
        <w:jc w:val="both"/>
      </w:pPr>
    </w:p>
    <w:p w:rsidR="001C1DAE" w:rsidRDefault="001C1D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7CA4" w:rsidRDefault="005B7CA4" w:rsidP="000E611A"/>
    <w:sectPr w:rsidR="005B7CA4" w:rsidSect="007E74A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1DAE"/>
    <w:rsid w:val="000316A6"/>
    <w:rsid w:val="000E611A"/>
    <w:rsid w:val="001C1DAE"/>
    <w:rsid w:val="005B7CA4"/>
    <w:rsid w:val="00B7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1A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1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1D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90BF210F4219A7AB19486670643FC495231DD28B700C213FE0A765A0C6E14F0605AC485683DCE0796116A84u8eAN" TargetMode="External"/><Relationship Id="rId13" Type="http://schemas.openxmlformats.org/officeDocument/2006/relationships/hyperlink" Target="consultantplus://offline/ref=5FE90BF210F4219A7AB197937E0643FC4E5638D82AE757C042AB0473525C3404F4290FCA9B6B27D0018811u6eA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E90BF210F4219A7AB19486670643FC49523EDF27B900C213FE0A765A0C6E14E26002CB8E3F728A56851369988A15EEC22D5Fu7e0N" TargetMode="External"/><Relationship Id="rId12" Type="http://schemas.openxmlformats.org/officeDocument/2006/relationships/hyperlink" Target="consultantplus://offline/ref=5FE90BF210F4219A7AB19486670643FC485238D421B700C213FE0A765A0C6E14F0605AC485683DCE0796116A84u8eAN" TargetMode="External"/><Relationship Id="rId17" Type="http://schemas.openxmlformats.org/officeDocument/2006/relationships/hyperlink" Target="consultantplus://offline/ref=5FE90BF210F4219A7AB197937E0643FC4E5638D82AE757C042AB0473525C3404F4290FCA9B6B27D0018811u6e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E90BF210F4219A7AB19486670643FC48563DDC27B200C213FE0A765A0C6E14F0605AC485683DCE0796116A84u8e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90BF210F4219A7AB19486670643FC495430D822B000C213FE0A765A0C6E14E26002C8856B20CE0783473BC2DF1CF0C3335D7486C93C71uFeCN" TargetMode="External"/><Relationship Id="rId11" Type="http://schemas.openxmlformats.org/officeDocument/2006/relationships/hyperlink" Target="consultantplus://offline/ref=5FE90BF210F4219A7AB19486670643FC49523FDA27B900C213FE0A765A0C6E14E26002C8856B23CA0A83473BC2DF1CF0C3335D7486C93C71uFeCN" TargetMode="External"/><Relationship Id="rId5" Type="http://schemas.openxmlformats.org/officeDocument/2006/relationships/hyperlink" Target="consultantplus://offline/ref=5FE90BF210F4219A7AB19486670643FC49543ADF29B500C213FE0A765A0C6E14E26002C8856B23CA0583473BC2DF1CF0C3335D7486C93C71uFeCN" TargetMode="External"/><Relationship Id="rId15" Type="http://schemas.openxmlformats.org/officeDocument/2006/relationships/hyperlink" Target="consultantplus://offline/ref=5FE90BF210F4219A7AB197937E0643FC49573FD92AE757C042AB0473525C3404F4290FCA9B6B27D0018811u6eAN" TargetMode="External"/><Relationship Id="rId10" Type="http://schemas.openxmlformats.org/officeDocument/2006/relationships/hyperlink" Target="consultantplus://offline/ref=5FE90BF210F4219A7AB19486670643FC485238D421B700C213FE0A765A0C6E14F0605AC485683DCE0796116A84u8eA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FE90BF210F4219A7AB19486670643FC49543ADF29B500C213FE0A765A0C6E14E26002CA8D6C289A52CC466786890FF0C4335F709AuCeBN" TargetMode="External"/><Relationship Id="rId14" Type="http://schemas.openxmlformats.org/officeDocument/2006/relationships/hyperlink" Target="consultantplus://offline/ref=5FE90BF210F4219A7AB19486670643FC48563DDC27B300C213FE0A765A0C6E14F0605AC485683DCE0796116A84u8e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2441</Words>
  <Characters>13919</Characters>
  <Application>Microsoft Office Word</Application>
  <DocSecurity>0</DocSecurity>
  <Lines>115</Lines>
  <Paragraphs>32</Paragraphs>
  <ScaleCrop>false</ScaleCrop>
  <Company>ДЭР</Company>
  <LinksUpToDate>false</LinksUpToDate>
  <CharactersWithSpaces>16328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Фомина</cp:lastModifiedBy>
  <cp:revision>1</cp:revision>
  <dcterms:created xsi:type="dcterms:W3CDTF">2020-04-03T13:30:00Z</dcterms:created>
  <dcterms:modified xsi:type="dcterms:W3CDTF">2020-04-03T13:31:00Z</dcterms:modified>
</cp:coreProperties>
</file>